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A5" w:rsidRPr="00163AA5" w:rsidRDefault="00163AA5" w:rsidP="00163AA5">
      <w:pPr>
        <w:spacing w:after="0"/>
        <w:jc w:val="right"/>
        <w:rPr>
          <w:rFonts w:ascii="Garamond" w:hAnsi="Garamond"/>
        </w:rPr>
      </w:pPr>
    </w:p>
    <w:p w:rsidR="00163AA5" w:rsidRPr="00163AA5" w:rsidRDefault="00163AA5" w:rsidP="00163AA5">
      <w:pPr>
        <w:rPr>
          <w:rFonts w:ascii="Garamond" w:hAnsi="Garamond"/>
          <w:sz w:val="16"/>
          <w:szCs w:val="16"/>
        </w:rPr>
      </w:pPr>
      <w:r w:rsidRPr="00163AA5">
        <w:rPr>
          <w:rFonts w:ascii="Garamond" w:hAnsi="Garamond"/>
          <w:sz w:val="16"/>
          <w:szCs w:val="16"/>
        </w:rPr>
        <w:t xml:space="preserve">Załącznik nr </w:t>
      </w:r>
      <w:r w:rsidR="007C1AFA">
        <w:rPr>
          <w:rFonts w:ascii="Garamond" w:hAnsi="Garamond"/>
          <w:sz w:val="16"/>
          <w:szCs w:val="16"/>
        </w:rPr>
        <w:t>8</w:t>
      </w:r>
      <w:bookmarkStart w:id="0" w:name="_GoBack"/>
      <w:bookmarkEnd w:id="0"/>
    </w:p>
    <w:p w:rsidR="00163AA5" w:rsidRPr="00163AA5" w:rsidRDefault="00163AA5" w:rsidP="00163AA5">
      <w:pPr>
        <w:jc w:val="center"/>
        <w:rPr>
          <w:rFonts w:ascii="Garamond" w:hAnsi="Garamond"/>
          <w:b/>
        </w:rPr>
      </w:pPr>
      <w:r w:rsidRPr="00163AA5">
        <w:rPr>
          <w:rFonts w:ascii="Garamond" w:hAnsi="Garamond"/>
          <w:b/>
        </w:rPr>
        <w:t xml:space="preserve">Szczegółowe zestawienie </w:t>
      </w:r>
    </w:p>
    <w:tbl>
      <w:tblPr>
        <w:tblStyle w:val="Tabela-Siatka4"/>
        <w:tblW w:w="0" w:type="auto"/>
        <w:tblLook w:val="04A0" w:firstRow="1" w:lastRow="0" w:firstColumn="1" w:lastColumn="0" w:noHBand="0" w:noVBand="1"/>
      </w:tblPr>
      <w:tblGrid>
        <w:gridCol w:w="519"/>
        <w:gridCol w:w="2670"/>
        <w:gridCol w:w="2926"/>
        <w:gridCol w:w="22"/>
        <w:gridCol w:w="2925"/>
      </w:tblGrid>
      <w:tr w:rsidR="00163AA5" w:rsidRPr="00163AA5" w:rsidTr="00163AA5">
        <w:trPr>
          <w:trHeight w:val="611"/>
        </w:trPr>
        <w:tc>
          <w:tcPr>
            <w:tcW w:w="519" w:type="dxa"/>
            <w:vAlign w:val="center"/>
          </w:tcPr>
          <w:p w:rsidR="00163AA5" w:rsidRPr="00163AA5" w:rsidRDefault="00163AA5" w:rsidP="00163AA5">
            <w:pPr>
              <w:rPr>
                <w:rFonts w:ascii="Garamond" w:eastAsia="Calibri" w:hAnsi="Garamond" w:cs="Times New Roman"/>
              </w:rPr>
            </w:pPr>
          </w:p>
        </w:tc>
        <w:tc>
          <w:tcPr>
            <w:tcW w:w="8543" w:type="dxa"/>
            <w:gridSpan w:val="4"/>
            <w:vAlign w:val="center"/>
          </w:tcPr>
          <w:p w:rsidR="00163AA5" w:rsidRPr="00163AA5" w:rsidRDefault="00163AA5" w:rsidP="00163AA5">
            <w:pPr>
              <w:suppressAutoHyphens/>
              <w:jc w:val="center"/>
              <w:rPr>
                <w:rFonts w:ascii="Garamond" w:eastAsia="Calibri" w:hAnsi="Garamond" w:cs="Times New Roman"/>
                <w:b/>
              </w:rPr>
            </w:pPr>
            <w:r w:rsidRPr="00163AA5">
              <w:rPr>
                <w:rFonts w:ascii="Garamond" w:eastAsia="Calibri" w:hAnsi="Garamond" w:cs="Times New Roman"/>
                <w:b/>
              </w:rPr>
              <w:t>Magazyn na przedmioty do ponownego użycia z wyposażeniem</w:t>
            </w:r>
          </w:p>
        </w:tc>
      </w:tr>
      <w:tr w:rsidR="00163AA5" w:rsidRPr="00163AA5" w:rsidTr="00163AA5">
        <w:trPr>
          <w:trHeight w:val="368"/>
        </w:trPr>
        <w:tc>
          <w:tcPr>
            <w:tcW w:w="519" w:type="dxa"/>
            <w:vAlign w:val="center"/>
          </w:tcPr>
          <w:p w:rsidR="00163AA5" w:rsidRPr="00163AA5" w:rsidRDefault="00163AA5" w:rsidP="00163AA5">
            <w:pPr>
              <w:rPr>
                <w:rFonts w:ascii="Garamond" w:eastAsia="Calibri" w:hAnsi="Garamond" w:cs="Times New Roman"/>
              </w:rPr>
            </w:pPr>
          </w:p>
        </w:tc>
        <w:tc>
          <w:tcPr>
            <w:tcW w:w="2670" w:type="dxa"/>
            <w:vAlign w:val="center"/>
          </w:tcPr>
          <w:p w:rsidR="00163AA5" w:rsidRPr="00163AA5" w:rsidRDefault="00163AA5" w:rsidP="00163AA5">
            <w:pPr>
              <w:suppressAutoHyphens/>
              <w:jc w:val="center"/>
              <w:rPr>
                <w:rFonts w:ascii="Garamond" w:eastAsia="Calibri" w:hAnsi="Garamond" w:cs="Times New Roman"/>
                <w:b/>
              </w:rPr>
            </w:pPr>
            <w:r w:rsidRPr="00EC2CA6">
              <w:rPr>
                <w:rFonts w:ascii="Garamond" w:eastAsia="Calibri" w:hAnsi="Garamond" w:cs="Times New Roman"/>
                <w:b/>
              </w:rPr>
              <w:t>Nazwa</w:t>
            </w:r>
          </w:p>
        </w:tc>
        <w:tc>
          <w:tcPr>
            <w:tcW w:w="2926" w:type="dxa"/>
            <w:vAlign w:val="center"/>
          </w:tcPr>
          <w:p w:rsidR="00163AA5" w:rsidRPr="00163AA5" w:rsidRDefault="00163AA5" w:rsidP="00163AA5">
            <w:pPr>
              <w:suppressAutoHyphens/>
              <w:jc w:val="center"/>
              <w:rPr>
                <w:rFonts w:ascii="Garamond" w:eastAsia="Calibri" w:hAnsi="Garamond" w:cs="Times New Roman"/>
                <w:b/>
              </w:rPr>
            </w:pPr>
            <w:r>
              <w:rPr>
                <w:rFonts w:ascii="Garamond" w:eastAsia="Calibri" w:hAnsi="Garamond" w:cs="Times New Roman"/>
                <w:b/>
              </w:rPr>
              <w:t xml:space="preserve">Charakterystyka </w:t>
            </w:r>
          </w:p>
        </w:tc>
        <w:tc>
          <w:tcPr>
            <w:tcW w:w="2947" w:type="dxa"/>
            <w:gridSpan w:val="2"/>
            <w:vAlign w:val="center"/>
          </w:tcPr>
          <w:p w:rsidR="00163AA5" w:rsidRPr="00163AA5" w:rsidRDefault="00163AA5" w:rsidP="00163AA5">
            <w:pPr>
              <w:suppressAutoHyphens/>
              <w:jc w:val="center"/>
              <w:rPr>
                <w:rFonts w:ascii="Garamond" w:eastAsia="Calibri" w:hAnsi="Garamond" w:cs="Times New Roman"/>
                <w:b/>
              </w:rPr>
            </w:pPr>
            <w:r>
              <w:rPr>
                <w:rFonts w:ascii="Garamond" w:eastAsia="Calibri" w:hAnsi="Garamond" w:cs="Times New Roman"/>
                <w:b/>
              </w:rPr>
              <w:t>Ilość</w:t>
            </w:r>
          </w:p>
        </w:tc>
      </w:tr>
      <w:tr w:rsidR="00163AA5" w:rsidRPr="00163AA5" w:rsidTr="00163AA5">
        <w:trPr>
          <w:trHeight w:val="342"/>
        </w:trPr>
        <w:tc>
          <w:tcPr>
            <w:tcW w:w="519" w:type="dxa"/>
            <w:vAlign w:val="center"/>
          </w:tcPr>
          <w:p w:rsidR="00163AA5" w:rsidRPr="00163AA5" w:rsidRDefault="00163AA5" w:rsidP="00163AA5">
            <w:pPr>
              <w:pStyle w:val="Akapitzlist"/>
              <w:numPr>
                <w:ilvl w:val="0"/>
                <w:numId w:val="1"/>
              </w:numPr>
              <w:suppressAutoHyphens/>
              <w:rPr>
                <w:rFonts w:ascii="Garamond" w:eastAsia="Calibri" w:hAnsi="Garamond" w:cs="Times New Roman"/>
              </w:rPr>
            </w:pPr>
          </w:p>
        </w:tc>
        <w:tc>
          <w:tcPr>
            <w:tcW w:w="2670" w:type="dxa"/>
            <w:vAlign w:val="center"/>
          </w:tcPr>
          <w:p w:rsidR="00163AA5" w:rsidRPr="00163AA5" w:rsidRDefault="00163AA5" w:rsidP="00163AA5">
            <w:pPr>
              <w:suppressAutoHyphens/>
              <w:rPr>
                <w:rFonts w:ascii="Garamond" w:eastAsia="Calibri" w:hAnsi="Garamond" w:cs="Times New Roman"/>
              </w:rPr>
            </w:pPr>
          </w:p>
        </w:tc>
        <w:tc>
          <w:tcPr>
            <w:tcW w:w="2948" w:type="dxa"/>
            <w:gridSpan w:val="2"/>
            <w:vAlign w:val="center"/>
          </w:tcPr>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1)Właściwości funkcjonalno-użytkowe Pomieszczenie  na  przedmioty  do  ponownego  użycia  podzielić  należy  funkcjonalnie  na 2części: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-część   magazynowa przedmiotów   do   ponownego   użycia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–do   gromadzenia i   przechowywania   odpadów   i   przedmiotów   nadających   się   do   ponownego wykorzystania  (</w:t>
            </w:r>
            <w:proofErr w:type="spellStart"/>
            <w:r w:rsidRPr="00163AA5">
              <w:rPr>
                <w:rFonts w:ascii="Garamond" w:eastAsia="Calibri" w:hAnsi="Garamond" w:cs="Times New Roman"/>
                <w:sz w:val="16"/>
                <w:szCs w:val="16"/>
              </w:rPr>
              <w:t>odrazu</w:t>
            </w:r>
            <w:proofErr w:type="spellEnd"/>
            <w:r w:rsidRPr="00163AA5">
              <w:rPr>
                <w:rFonts w:ascii="Garamond" w:eastAsia="Calibri" w:hAnsi="Garamond" w:cs="Times New Roman"/>
                <w:sz w:val="16"/>
                <w:szCs w:val="16"/>
              </w:rPr>
              <w:t xml:space="preserve">  lub  po  dokonaniu  drobnych  napraw),  np.  meble  i  inne wyposażenie domu, wózki dziecięce, sprzęt sportowy, inne przedmioty i sprzęty,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-część napraw –miejsce przeprowadzania drobnych napraw odpadów i nadanie im wartości użytkowych. Część magazynowa przedmiotów do ponownego użycia wyposażyć w:</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1)instalację  elektryczną–oświetleniową  i podwójnych gniazd wtykowych  (min. 4szt.),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2)instalację wentylacyjną(wentylacja mechaniczna),</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3)podstawowy sprzęt ppoż. i bhp zgodnie z przepisami szczegółowymi,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4)2kosze siatkowe o pojemności min. 0,9m3na palecie–na drobne przedmioty,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d)2regały o następujących parametrach:-półki   wykonane   z   blachy   stalowej   o   grubości   min. 1mm   podwójnie doginanej, wzmacnianej od spodu profilem C o udźwigu na półkę do 150kg, -słupy  nośne  wykonane  z  kątownika  40x60x2mm  perforowanego  co  20mm i wyposażone w stopkę z tworzywa, -regały  muszą  posiadać  dodatkowo  kątowniki  montowane  pod  najniższą i najwyższą półkę usztywniające całą konstrukcję, -regały lakierowane proszkowo na kolor szary,-udźwig   całego   regału   min.   600kg,   regał   musi   posiadać   oznakowanie dopuszczalnego obciążenia, -wymiary: wysokość: 220 cm, głębokość: 60cm, szerokość: 100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5)ręczny, dwukołowy wózek unoszący, do przemieszczania mebli, lodówek itp.,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Część napraw przedmiotów do ponownego użycia wyposażone w:</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1)stół o następujących parametrach:-konstrukcja stołu z kształtowników stalowych o grubości 3mm,-blat   o   grubości   min.   45mm –lakierowany,   lakierem   bezbarwnym, bezwonnym, zamknięto-porowym,-konstrukcja  wykonana  z    kształtowników  stalowych  oraz  blat  grubości  min. 45mm,-nośność stołu minimum –1000kg,-malowane trwałymi farbami proszkowymi strukturalnymi, w kolorze szarym,-wymiary  gabarytowe  bez  nadbudowy  min.:  szerokość:  150  cm, wysokość:</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90 cm, głębokość: 74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2)metalowa szafka stojąca z szufladami na narzędzia:</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lastRenderedPageBreak/>
              <w:t xml:space="preserve">-szafka metalowa z 4 szufladami zamykanymi na klucz, -stabilna konstrukcja metalowa,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-szafka w kolorze szarym,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-komplet 2 kluczyków,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-zamknięcie na klucz powoduje zamknięcie wszystkich szuflad, -wymiary: wysokość: 80cm, szerokość: 42cm, głębokość: 57cm;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3)zestaw  podstawowych  narzędzi  ręcznych  (zestaw  śrubokrętów,  młotek  stolarski 0,5kg i0,8kg, piłę ręczną do drewna, 2kg gwoździ stalowych 1 cal, 2 kg gwoździ 2cale, 3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 wkrętów do drewna różnej wielkości),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4)imadło ślusarskie  (korpus  i  szczęka  ruchoma  wykonane  z  wysokiej  jakości żeliwnych    odlewów    o    gwarantowanej    wytrzymałości,    wymienne    wkładki szczękowe, hartowane indukcyjnie i szlifowane, nacięty molet gwarantuje pewne i bezpieczne mocowanie,  wkładki szczękowe posiadają poziomą i pionową pryzmę, możliwość  mocowania rur  i  prętów  dzięki  odpowiedniemu  kształtowi  szczęki ruchomej,    dokładnie    osłonięta    przed    wiórami    i zanieczyszczeniami    śruba pociągowa, długi okres eksploatacji, Wymiary: S: 150 L,A: 170 mm, H: 182 mm, L: 380 mm, a: 125 mm, d: 13 mm, h: 75 mm)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5)szlifierka  kątowa  min.  125  mm:  osłona,  rękojeść  dodatkowa,  kołnierz  mocujący, nakrętka   mocująca, klucz   widełkowy,   wydajność   nominalna   min.:   1.400W, prędkość  obrotowa  bez  obciążenia min:  2.200-7.500  min-1,  moc  wyjściowa  ok: 820W,  gwint  wrzeciona  szlifierki:  M14,  średnica  tarcz  min.:  125mm,  średnica gumowego talerza szlifierskiego min.: 125mm, średnica szczotki garnkowej min.: 70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6)wiertarka ręczna   elektryczna   o   mocy   min.   1200W,   wielkość   uchwytu   do max.13mm,  z przełączeniem  obrotów  lewo,  prawo –1  szt.  Wiertarka  powinna być wyposażona w lampkę kontrolną sygnalizująca usterki przewodu i wyłącznika, sprzęgło   przeciążeniowe   chroniące   użytkownika   i   przekładnię   w   przypadku zablokowania  wiertła,  pokrętło  regulacji  dla  stałej  prędkości  obrotowej  pod obciążeniem,  układ  łagodnego  rozruchu,  przekładnię  dwubiegową  z  blokadą, mocną obudowę przekładni z aluminium odlewanego pod ciśnieniem,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7)zestaw  wkrętaków płaskich:  4,0  x  100mm,  5.5  x  125  mm,  6,5  x  150mm, Wkrętaki  krzyżowe  PH1  x  80  mm,  PH2  x  100  mm,  klinga  wykonana  ze  stali </w:t>
            </w:r>
            <w:proofErr w:type="spellStart"/>
            <w:r w:rsidRPr="00163AA5">
              <w:rPr>
                <w:rFonts w:ascii="Garamond" w:eastAsia="Calibri" w:hAnsi="Garamond" w:cs="Times New Roman"/>
                <w:sz w:val="16"/>
                <w:szCs w:val="16"/>
              </w:rPr>
              <w:t>chromowo-molibdenowo-wanadowej</w:t>
            </w:r>
            <w:proofErr w:type="spellEnd"/>
            <w:r w:rsidRPr="00163AA5">
              <w:rPr>
                <w:rFonts w:ascii="Garamond" w:eastAsia="Calibri" w:hAnsi="Garamond" w:cs="Times New Roman"/>
                <w:sz w:val="16"/>
                <w:szCs w:val="16"/>
              </w:rPr>
              <w:t xml:space="preserve">,  otwór  poprzeczny  w  uchwycie,  zewnętrzna powłoka rękojeści zbudowana </w:t>
            </w:r>
            <w:proofErr w:type="spellStart"/>
            <w:r w:rsidRPr="00163AA5">
              <w:rPr>
                <w:rFonts w:ascii="Garamond" w:eastAsia="Calibri" w:hAnsi="Garamond" w:cs="Times New Roman"/>
                <w:sz w:val="16"/>
                <w:szCs w:val="16"/>
              </w:rPr>
              <w:t>zelastomeru</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8)zestaw  kluczy nasadowych ze stali  chromowo-wanadowej,  nasadki  sześciokątne, 1grzechotka, 1  przegub  uniwersalny,  3  przedłużki  75  mm,  100  mm,  150mm,  1 redukcja  1/2"M  x  3/8"F,  minimum  17  nasadek  w  rozmiarach:  8,  10,  11,  12,  13, 14, 15, 16, 17, 18, 19, 21, 22, 24, 27, 30, 32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9)zestaw min. 12 kluczy oczkowych półotwartych i odgiętych od 4 mm do 32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10)zestaw  kombinerek  izolowanych  160  mm,  200  mm,  szczypce  boczne  180  </w:t>
            </w:r>
            <w:r w:rsidRPr="00163AA5">
              <w:rPr>
                <w:rFonts w:ascii="Garamond" w:eastAsia="Calibri" w:hAnsi="Garamond" w:cs="Times New Roman"/>
                <w:sz w:val="16"/>
                <w:szCs w:val="16"/>
              </w:rPr>
              <w:lastRenderedPageBreak/>
              <w:t>mm, szczypce czołowe 200 mm, szczypce precyzyjne czołowe 115mm,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11)zszywacz  tapicerski –14mm,  obudowa  z  aluminium, zszywki  wkładane  od dołu, blokada  zszywacza,  zszywki  typ  J  w  rozmiarach:  6,  8,  10,  12,  14  mm  wraz  z kompletem zszywek (min. 1000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12)2szt. Noży z ostrzem łamanym 18mm blokada śrubowa, wraz z kompletem ostrzy łamanych wymienne 18mm -20szt.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13)3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 wierteł do metalu i drewna od ø 2 ÷ ø 13 mm,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14)szczotki druciane ręczne –3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15)rękawice ochronne(10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16)okulary ochronne (10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17)nauszniki ochronne (10 </w:t>
            </w:r>
            <w:proofErr w:type="spellStart"/>
            <w:r w:rsidRPr="00163AA5">
              <w:rPr>
                <w:rFonts w:ascii="Garamond" w:eastAsia="Calibri" w:hAnsi="Garamond" w:cs="Times New Roman"/>
                <w:sz w:val="16"/>
                <w:szCs w:val="16"/>
              </w:rPr>
              <w:t>kpl</w:t>
            </w:r>
            <w:proofErr w:type="spellEnd"/>
            <w:r w:rsidRPr="00163AA5">
              <w:rPr>
                <w:rFonts w:ascii="Garamond" w:eastAsia="Calibri" w:hAnsi="Garamond" w:cs="Times New Roman"/>
                <w:sz w:val="16"/>
                <w:szCs w:val="16"/>
              </w:rPr>
              <w: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18)przedłużacz elektryczny –min. 4 </w:t>
            </w:r>
            <w:proofErr w:type="spellStart"/>
            <w:r w:rsidRPr="00163AA5">
              <w:rPr>
                <w:rFonts w:ascii="Garamond" w:eastAsia="Calibri" w:hAnsi="Garamond" w:cs="Times New Roman"/>
                <w:sz w:val="16"/>
                <w:szCs w:val="16"/>
              </w:rPr>
              <w:t>mb</w:t>
            </w:r>
            <w:proofErr w:type="spellEnd"/>
            <w:r w:rsidRPr="00163AA5">
              <w:rPr>
                <w:rFonts w:ascii="Garamond" w:eastAsia="Calibri" w:hAnsi="Garamond" w:cs="Times New Roman"/>
                <w:sz w:val="16"/>
                <w:szCs w:val="16"/>
              </w:rPr>
              <w:t xml:space="preserve"> –2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e)regał o następujących parametrach:</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-półki   wykonane   z   blachy   stalowej   o   grubości   min.   1mm   podwójnie doginanej, wzmacnianej od spodu profilem C o udźwigu na półkę do 150kg,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-słupy  nośne  </w:t>
            </w:r>
            <w:proofErr w:type="spellStart"/>
            <w:r w:rsidRPr="00163AA5">
              <w:rPr>
                <w:rFonts w:ascii="Garamond" w:eastAsia="Calibri" w:hAnsi="Garamond" w:cs="Times New Roman"/>
                <w:sz w:val="16"/>
                <w:szCs w:val="16"/>
              </w:rPr>
              <w:t>wykonanez</w:t>
            </w:r>
            <w:proofErr w:type="spellEnd"/>
            <w:r w:rsidRPr="00163AA5">
              <w:rPr>
                <w:rFonts w:ascii="Garamond" w:eastAsia="Calibri" w:hAnsi="Garamond" w:cs="Times New Roman"/>
                <w:sz w:val="16"/>
                <w:szCs w:val="16"/>
              </w:rPr>
              <w:t xml:space="preserve">  kątownika  40x60x2mmperforowanego  co  20mm i wyposażone w stopkę z tworzywa,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-regały  muszą  posiadać  dodatkowo  kątowniki  montowane  pod  najniższą  i najwyższą półkę usztywniające całą konstrukcję,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-regały lakierowane proszkowo na kolor szary,</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-udźwig   całego   regału   min.   600kg, regał   musi   posiadać   oznakowanie dopuszczalnego obciążenia, -wymiary: wysokość: 220 cm, głębokość: 60cm, szerokość: 100 cm;</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19)miotła zewnętrzna (uliczna) z drewnianym korpusem w części roboczej wykonana z twardego  włosia  z  tworzywa  sztucznego,  osadzona  na  zakończonym  gwintem trwałym metalowym trzonku powleczonym warstwą tworzywa sztucznego, trzonek 130   cm drewniany; miotła   z   długim   włosiem -2szt.,   miotła   z   włosiem standardowej długości –2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20)łopata do   odgarniania   śniegu, część   robocza:   tworzywo   sztuczne, trzonek: aluminium wymiary min.:</w:t>
            </w:r>
            <w:proofErr w:type="spellStart"/>
            <w:r w:rsidRPr="00163AA5">
              <w:rPr>
                <w:rFonts w:ascii="Garamond" w:eastAsia="Calibri" w:hAnsi="Garamond" w:cs="Times New Roman"/>
                <w:sz w:val="16"/>
                <w:szCs w:val="16"/>
              </w:rPr>
              <w:t>dł</w:t>
            </w:r>
            <w:proofErr w:type="spellEnd"/>
            <w:r w:rsidRPr="00163AA5">
              <w:rPr>
                <w:rFonts w:ascii="Garamond" w:eastAsia="Calibri" w:hAnsi="Garamond" w:cs="Times New Roman"/>
                <w:sz w:val="16"/>
                <w:szCs w:val="16"/>
              </w:rPr>
              <w:t xml:space="preserve">.: 131 cm ×szer. szufli: 50 </w:t>
            </w:r>
            <w:proofErr w:type="spellStart"/>
            <w:r w:rsidRPr="00163AA5">
              <w:rPr>
                <w:rFonts w:ascii="Garamond" w:eastAsia="Calibri" w:hAnsi="Garamond" w:cs="Times New Roman"/>
                <w:sz w:val="16"/>
                <w:szCs w:val="16"/>
              </w:rPr>
              <w:t>cm×wys</w:t>
            </w:r>
            <w:proofErr w:type="spellEnd"/>
            <w:r w:rsidRPr="00163AA5">
              <w:rPr>
                <w:rFonts w:ascii="Garamond" w:eastAsia="Calibri" w:hAnsi="Garamond" w:cs="Times New Roman"/>
                <w:sz w:val="16"/>
                <w:szCs w:val="16"/>
              </w:rPr>
              <w:t>. szufli: 40cm–4szt.,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21)podstawowy sprzęt ppoż. i bhp zgodnie z przepisami szczegółowymi,</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22)apteczka  przenośna,  apteczka  musi  być  wyposażona  w  instrukcję  oraz  element  oznakowania  miejsca  jej  zawieszenia(biały  krzyż  na  zielonym  tle). Zestawienie elementów apteczki: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gaza opatrunkowa jałowa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chusta trójkątna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opatrunek hydrożelowy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kompresy gazowe 9x9 cm 5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siatka opatrunkowa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(lub równoważna) nr 3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siatka opatrunkowa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(lub równoważna) nr 6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bandaż elastyczny 4m x 12 cm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przylepiec z opatrunkiem 6 cm x 1 m 1 op. </w:t>
            </w: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maska do zast</w:t>
            </w:r>
            <w:r w:rsidRPr="00163AA5">
              <w:rPr>
                <w:rFonts w:ascii="Garamond" w:eastAsia="Calibri" w:hAnsi="Garamond" w:cs="Garamond"/>
                <w:sz w:val="16"/>
                <w:szCs w:val="16"/>
              </w:rPr>
              <w:t>ę</w:t>
            </w:r>
            <w:r w:rsidRPr="00163AA5">
              <w:rPr>
                <w:rFonts w:ascii="Garamond" w:eastAsia="Calibri" w:hAnsi="Garamond" w:cs="Times New Roman"/>
                <w:sz w:val="16"/>
                <w:szCs w:val="16"/>
              </w:rPr>
              <w:t xml:space="preserve">pczej wentylacji (sztucznego oddychania)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zestaw do płukania oka (z płynem) 1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rękawiczki ochronne ratownicze jednorazowego użytku 4 pary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płyn do dezynfekcji rąk 1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agrafka 5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nożyczki 1 szt.</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 </w:t>
            </w: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instrukcja udzielania pierwszej pomocy,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lastRenderedPageBreak/>
              <w:t>‒</w:t>
            </w:r>
            <w:r w:rsidRPr="00163AA5">
              <w:rPr>
                <w:rFonts w:ascii="Garamond" w:eastAsia="Calibri" w:hAnsi="Garamond" w:cs="Times New Roman"/>
                <w:sz w:val="16"/>
                <w:szCs w:val="16"/>
              </w:rPr>
              <w:t xml:space="preserve">latarka elektryczna lub jednorazowa latarka chemiczna,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nożyczki lub nóż,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gaza opatrunkowa sterylna (kompresy gazowe) –4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bandaż elastyczny –4 op.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chusta trójkątna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elastyczna siatka opatrunkowa (np. </w:t>
            </w:r>
            <w:proofErr w:type="spellStart"/>
            <w:r w:rsidRPr="00163AA5">
              <w:rPr>
                <w:rFonts w:ascii="Garamond" w:eastAsia="Calibri" w:hAnsi="Garamond" w:cs="Times New Roman"/>
                <w:sz w:val="16"/>
                <w:szCs w:val="16"/>
              </w:rPr>
              <w:t>codofix</w:t>
            </w:r>
            <w:proofErr w:type="spellEnd"/>
            <w:r w:rsidRPr="00163AA5">
              <w:rPr>
                <w:rFonts w:ascii="Garamond" w:eastAsia="Calibri" w:hAnsi="Garamond" w:cs="Times New Roman"/>
                <w:sz w:val="16"/>
                <w:szCs w:val="16"/>
              </w:rPr>
              <w:t xml:space="preserve">, </w:t>
            </w:r>
            <w:proofErr w:type="spellStart"/>
            <w:r w:rsidRPr="00163AA5">
              <w:rPr>
                <w:rFonts w:ascii="Garamond" w:eastAsia="Calibri" w:hAnsi="Garamond" w:cs="Times New Roman"/>
                <w:sz w:val="16"/>
                <w:szCs w:val="16"/>
              </w:rPr>
              <w:t>elastofix</w:t>
            </w:r>
            <w:proofErr w:type="spellEnd"/>
            <w:r w:rsidRPr="00163AA5">
              <w:rPr>
                <w:rFonts w:ascii="Garamond" w:eastAsia="Calibri" w:hAnsi="Garamond" w:cs="Times New Roman"/>
                <w:sz w:val="16"/>
                <w:szCs w:val="16"/>
              </w:rPr>
              <w:t xml:space="preserve"> -lub równoważna) -3 rozmiary,</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rękawiczki gumowe –3 pary,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folia termoizolacyjna srebrno-złota (folia </w:t>
            </w:r>
            <w:proofErr w:type="spellStart"/>
            <w:r w:rsidRPr="00163AA5">
              <w:rPr>
                <w:rFonts w:ascii="Garamond" w:eastAsia="Calibri" w:hAnsi="Garamond" w:cs="Times New Roman"/>
                <w:sz w:val="16"/>
                <w:szCs w:val="16"/>
              </w:rPr>
              <w:t>nrc</w:t>
            </w:r>
            <w:proofErr w:type="spellEnd"/>
            <w:r w:rsidRPr="00163AA5">
              <w:rPr>
                <w:rFonts w:ascii="Garamond" w:eastAsia="Calibri" w:hAnsi="Garamond" w:cs="Times New Roman"/>
                <w:sz w:val="16"/>
                <w:szCs w:val="16"/>
              </w:rPr>
              <w:t xml:space="preserve">) -2 szt.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 xml:space="preserve">plaster zwykły –2 rolki, </w:t>
            </w:r>
          </w:p>
          <w:p w:rsidR="00163AA5" w:rsidRPr="00163AA5" w:rsidRDefault="00163AA5" w:rsidP="00163AA5">
            <w:pPr>
              <w:suppressAutoHyphens/>
              <w:rPr>
                <w:rFonts w:ascii="Garamond" w:eastAsia="Calibri" w:hAnsi="Garamond" w:cs="Times New Roman"/>
                <w:sz w:val="16"/>
                <w:szCs w:val="16"/>
              </w:rPr>
            </w:pPr>
            <w:r w:rsidRPr="00163AA5">
              <w:rPr>
                <w:rFonts w:ascii="Times New Roman" w:eastAsia="Calibri" w:hAnsi="Times New Roman" w:cs="Times New Roman"/>
                <w:sz w:val="16"/>
                <w:szCs w:val="16"/>
              </w:rPr>
              <w:t>‒</w:t>
            </w:r>
            <w:r w:rsidRPr="00163AA5">
              <w:rPr>
                <w:rFonts w:ascii="Garamond" w:eastAsia="Calibri" w:hAnsi="Garamond" w:cs="Times New Roman"/>
                <w:sz w:val="16"/>
                <w:szCs w:val="16"/>
              </w:rPr>
              <w:t>plaster z opatrunkiem –kilka rozmiarów. W  pomieszczeniu  zamontować należy uchwyt  na  apteczkę  oraz  oznakować  jej lokalizację(biały krzyż na zielonym tle).</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23)instalacje:</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-instalację  elektryczną–oświetleniową i podwójnych gniazd  wtykowych  (min. 4szt.),-instalację wentylacyjną (wentylacja mechaniczna). </w:t>
            </w:r>
          </w:p>
          <w:p w:rsidR="00163AA5" w:rsidRPr="00163AA5" w:rsidRDefault="00163AA5" w:rsidP="00163AA5">
            <w:pPr>
              <w:suppressAutoHyphens/>
              <w:rPr>
                <w:rFonts w:ascii="Garamond" w:eastAsia="Calibri" w:hAnsi="Garamond" w:cs="Times New Roman"/>
                <w:sz w:val="16"/>
                <w:szCs w:val="16"/>
              </w:rPr>
            </w:pPr>
            <w:r w:rsidRPr="00163AA5">
              <w:rPr>
                <w:rFonts w:ascii="Garamond" w:eastAsia="Calibri" w:hAnsi="Garamond" w:cs="Times New Roman"/>
                <w:sz w:val="16"/>
                <w:szCs w:val="16"/>
              </w:rPr>
              <w:t xml:space="preserve">2)Podstawowe wytyczne budowlano-montażowe i wskaźniki powierzchniowo-kubaturowe Pomieszczenie  zadaszone  i  zamykane.  Wysokość  min.  2,50  m  wysokości  użytkowej wewnątrz,  wymiary zewnętrzne: min. 6,0m  x  min. 5,0m.  Pomieszczenie  z  drzwiami dwuskrzydłowymi  otwieranymi  na  zewnątrz.  Drzwi zlokalizowane  w  środkowej  części dłuższego  boku pomieszczenia.  Drzwi ze  wzmocnieniami  i  z  zamkiem.  Szerokość  drzwi pozwalająca na   ruch   ręcznego   podnośnika   pneumatycznego   z   paletą   drewnianą standardowych wymiarów (E-PAL).Wentylacja,  jak  i  cała  konstrukcja  pomieszczenia  wykonana  w  sposób  uniemożliwiający wpływ warunków atmosferycznych na odpady wewnątrz pomieszczenia. Niedopuszczalne jest,   aby   opad   atmosferyczny   w   jakiejkolwiek   postaci   dostał   się   do   wnętrza pomieszczenia (np. poprzez otwory wentylacyjne lub ze względu na zastosowanie blachy trapezowej   w   sposób   tworzący   otwory   w miejscach   łączenia   się   boków   i   dachu konstrukcji).Pomieszczenie należy wyposażyć w mobilną, dostawianą, dopasowaną rampę najazdową, którą   można   zamontować jako podjazd   do   otworu   wejściowego.   Mobilna   rampa najazdowa,  ocynkowana  z  powierzchnią  antypoślizgową  pod  drzwi  w  celu  możliwości wjazdu / wyjazdu np. wózkiem ręcznym. Konstrukcja:  spawana  rama  podłogi,  stropodachu  oraz  słupy  usytuowane  w  narożach modułu, elementy konstrukcji pokryte powłokami antykorozyjnymi, odprowadzenie wody deszczowej rynnami PCV wewnątrz słupów narożnych. Ściany  zewnętrzne  (panele)  o  warstwach:  </w:t>
            </w:r>
            <w:proofErr w:type="spellStart"/>
            <w:r w:rsidRPr="00163AA5">
              <w:rPr>
                <w:rFonts w:ascii="Garamond" w:eastAsia="Calibri" w:hAnsi="Garamond" w:cs="Times New Roman"/>
                <w:sz w:val="16"/>
                <w:szCs w:val="16"/>
              </w:rPr>
              <w:t>trapezowana</w:t>
            </w:r>
            <w:proofErr w:type="spellEnd"/>
            <w:r w:rsidRPr="00163AA5">
              <w:rPr>
                <w:rFonts w:ascii="Garamond" w:eastAsia="Calibri" w:hAnsi="Garamond" w:cs="Times New Roman"/>
                <w:sz w:val="16"/>
                <w:szCs w:val="16"/>
              </w:rPr>
              <w:t xml:space="preserve">  blacha  lakierowana  RAL  9010 (biały) z zielonymi elementami dekoracyjnymi –motywy recyklingu o wymiarach min. 80 cm w  odcieniach  koloru  zielonego  (RAL6018  oraz  RAL  6001)  wraz  z  motywami graficznymi Gminy Lądek o wymiarach min. 80 cm zgodnie z załącznikami graficznymi do niniejszego PFU</w:t>
            </w:r>
          </w:p>
        </w:tc>
        <w:tc>
          <w:tcPr>
            <w:tcW w:w="2925" w:type="dxa"/>
            <w:vAlign w:val="center"/>
          </w:tcPr>
          <w:p w:rsidR="00163AA5" w:rsidRPr="00163AA5" w:rsidRDefault="00163AA5" w:rsidP="00163AA5">
            <w:pPr>
              <w:suppressAutoHyphens/>
              <w:jc w:val="center"/>
              <w:rPr>
                <w:rFonts w:ascii="Garamond" w:eastAsia="Calibri" w:hAnsi="Garamond" w:cs="Times New Roman"/>
              </w:rPr>
            </w:pPr>
            <w:r w:rsidRPr="00163AA5">
              <w:rPr>
                <w:rFonts w:ascii="Garamond" w:eastAsia="Calibri" w:hAnsi="Garamond" w:cs="Times New Roman"/>
              </w:rPr>
              <w:lastRenderedPageBreak/>
              <w:t xml:space="preserve">1 szt. </w:t>
            </w:r>
          </w:p>
        </w:tc>
      </w:tr>
    </w:tbl>
    <w:p w:rsidR="00163AA5" w:rsidRPr="00163AA5" w:rsidRDefault="00163AA5" w:rsidP="00163AA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163AA5">
        <w:rPr>
          <w:rFonts w:ascii="Times New Roman" w:eastAsia="SimSun" w:hAnsi="Times New Roman" w:cs="Arial"/>
          <w:kern w:val="3"/>
          <w:sz w:val="24"/>
          <w:szCs w:val="24"/>
          <w:lang w:eastAsia="zh-CN" w:bidi="hi-IN"/>
        </w:rPr>
        <w:lastRenderedPageBreak/>
        <w:t xml:space="preserve">* Nazwy własne producentów lub nazwy konkretnych marek lub produktów nie oznaczają </w:t>
      </w:r>
      <w:r w:rsidRPr="00163AA5">
        <w:rPr>
          <w:rFonts w:ascii="Times New Roman" w:eastAsia="SimSun" w:hAnsi="Times New Roman" w:cs="Arial"/>
          <w:kern w:val="3"/>
          <w:sz w:val="24"/>
          <w:szCs w:val="24"/>
          <w:lang w:eastAsia="zh-CN" w:bidi="hi-IN"/>
        </w:rPr>
        <w:lastRenderedPageBreak/>
        <w:t>obowiązku ich stosowania, a Zamawiający dopuszcza w każdym przypadku użycie materiałów lub produktów równoważnych.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W przypadku gdy powołane normy i przepisy odnoszą się do konkretnego kraju lub regionu, mogą być również stosowane inne „równoważne” odpowiednie normy zapewniające równy lub wyższy poziom wykonania niż powołane normy lub przepisy. Jeżeli Zamawiający dopuszcza rozwiązania równoważne opisywane w dokumentacji, ale nie podaje minimalnych parametrów, które by tę równoważność potwierdzały – Wykonawca obowiązany jest zaoferować produkt o właściwościach zbliżonych, nadający się funkcjonalnie do zapotrzebowanego zastosowania (</w:t>
      </w:r>
      <w:proofErr w:type="spellStart"/>
      <w:r w:rsidRPr="00163AA5">
        <w:rPr>
          <w:rFonts w:ascii="Times New Roman" w:eastAsia="SimSun" w:hAnsi="Times New Roman" w:cs="Arial"/>
          <w:kern w:val="3"/>
          <w:sz w:val="24"/>
          <w:szCs w:val="24"/>
          <w:lang w:eastAsia="zh-CN" w:bidi="hi-IN"/>
        </w:rPr>
        <w:t>arg</w:t>
      </w:r>
      <w:proofErr w:type="spellEnd"/>
      <w:r w:rsidRPr="00163AA5">
        <w:rPr>
          <w:rFonts w:ascii="Times New Roman" w:eastAsia="SimSun" w:hAnsi="Times New Roman" w:cs="Arial"/>
          <w:kern w:val="3"/>
          <w:sz w:val="24"/>
          <w:szCs w:val="24"/>
          <w:lang w:eastAsia="zh-CN" w:bidi="hi-IN"/>
        </w:rPr>
        <w:t>. na podstawie sentencji wyroku Krajowej Izby Odwoławczej z dnia 14 października 2013r. [sygn. akt: KIO 2315/13]).</w:t>
      </w:r>
    </w:p>
    <w:p w:rsidR="00163AA5" w:rsidRPr="00163AA5" w:rsidRDefault="00163AA5" w:rsidP="00163AA5">
      <w:pPr>
        <w:jc w:val="center"/>
        <w:rPr>
          <w:rFonts w:ascii="Garamond" w:hAnsi="Garamond"/>
          <w:b/>
        </w:rPr>
      </w:pPr>
    </w:p>
    <w:p w:rsidR="004C7BBF" w:rsidRDefault="004C7BBF"/>
    <w:sectPr w:rsidR="004C7BBF" w:rsidSect="00016B25">
      <w:headerReference w:type="default" r:id="rId7"/>
      <w:footerReference w:type="default" r:id="rId8"/>
      <w:pgSz w:w="11906" w:h="16838"/>
      <w:pgMar w:top="1417" w:right="1417" w:bottom="1417" w:left="1417"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95" w:rsidRDefault="007A5595">
      <w:pPr>
        <w:spacing w:after="0" w:line="240" w:lineRule="auto"/>
      </w:pPr>
      <w:r>
        <w:separator/>
      </w:r>
    </w:p>
  </w:endnote>
  <w:endnote w:type="continuationSeparator" w:id="0">
    <w:p w:rsidR="007A5595" w:rsidRDefault="007A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F" w:rsidRPr="00826F50" w:rsidRDefault="00163AA5" w:rsidP="00826F50">
    <w:pPr>
      <w:pStyle w:val="Stopka"/>
      <w:jc w:val="center"/>
      <w:rPr>
        <w:rFonts w:ascii="Garamond" w:hAnsi="Garamond"/>
      </w:rPr>
    </w:pPr>
    <w:r w:rsidRPr="00826F50">
      <w:rPr>
        <w:rFonts w:ascii="Garamond" w:hAnsi="Garamond"/>
      </w:rPr>
      <w:t>Projekt współfinansowany ze środków Unii Europejskiej w ramach Europejskiego Funduszu Rozwoju Regionalnego w ramach Wielkopolskiego Regionalnego Programu Operacyjnego 2014-2020</w:t>
    </w:r>
  </w:p>
  <w:p w:rsidR="0015391F" w:rsidRPr="00826F50" w:rsidRDefault="007A5595" w:rsidP="00826F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95" w:rsidRDefault="007A5595">
      <w:pPr>
        <w:spacing w:after="0" w:line="240" w:lineRule="auto"/>
      </w:pPr>
      <w:r>
        <w:separator/>
      </w:r>
    </w:p>
  </w:footnote>
  <w:footnote w:type="continuationSeparator" w:id="0">
    <w:p w:rsidR="007A5595" w:rsidRDefault="007A5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F" w:rsidRPr="00826F50" w:rsidRDefault="00163AA5" w:rsidP="00826F50">
    <w:pPr>
      <w:pStyle w:val="Nagwek"/>
      <w:jc w:val="center"/>
    </w:pPr>
    <w:r>
      <w:rPr>
        <w:noProof/>
        <w:lang w:eastAsia="pl-PL"/>
      </w:rPr>
      <w:drawing>
        <wp:inline distT="0" distB="0" distL="0" distR="0" wp14:anchorId="28054BBD" wp14:editId="6E37570B">
          <wp:extent cx="4704715" cy="476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4715"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378DA"/>
    <w:multiLevelType w:val="hybridMultilevel"/>
    <w:tmpl w:val="7B585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7"/>
    <w:rsid w:val="00163AA5"/>
    <w:rsid w:val="004C7BBF"/>
    <w:rsid w:val="007A5595"/>
    <w:rsid w:val="007C1AFA"/>
    <w:rsid w:val="00A66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98E7"/>
  <w15:chartTrackingRefBased/>
  <w15:docId w15:val="{A4536048-7E7B-473F-B9BF-2C80FB5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3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AA5"/>
  </w:style>
  <w:style w:type="paragraph" w:styleId="Stopka">
    <w:name w:val="footer"/>
    <w:basedOn w:val="Normalny"/>
    <w:link w:val="StopkaZnak"/>
    <w:uiPriority w:val="99"/>
    <w:unhideWhenUsed/>
    <w:rsid w:val="00163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AA5"/>
  </w:style>
  <w:style w:type="table" w:customStyle="1" w:styleId="Tabela-Siatka1">
    <w:name w:val="Tabela - Siatka1"/>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63AA5"/>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1681</Words>
  <Characters>10090</Characters>
  <Application>Microsoft Office Word</Application>
  <DocSecurity>0</DocSecurity>
  <Lines>84</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Drop</dc:creator>
  <cp:keywords/>
  <dc:description/>
  <cp:lastModifiedBy>Sylwia Drop</cp:lastModifiedBy>
  <cp:revision>3</cp:revision>
  <dcterms:created xsi:type="dcterms:W3CDTF">2019-09-05T11:14:00Z</dcterms:created>
  <dcterms:modified xsi:type="dcterms:W3CDTF">2019-10-02T06:21:00Z</dcterms:modified>
</cp:coreProperties>
</file>