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8605" w14:textId="313FE665" w:rsidR="00F27357" w:rsidRDefault="00F27357" w:rsidP="00A4042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right="2665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</w:p>
    <w:p w14:paraId="5D600574" w14:textId="19C06639" w:rsidR="00F27357" w:rsidRDefault="00F27357" w:rsidP="00F2735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Uchwała nr </w:t>
      </w:r>
      <w:r w:rsidR="00A40421">
        <w:rPr>
          <w:rFonts w:cstheme="minorHAnsi"/>
          <w:b/>
          <w:bCs/>
        </w:rPr>
        <w:t>LXXXI/533/2024</w:t>
      </w:r>
    </w:p>
    <w:p w14:paraId="47BE2781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Rady Gminy Lądek</w:t>
      </w:r>
    </w:p>
    <w:p w14:paraId="64FE5D12" w14:textId="12CD25DC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          z dnia </w:t>
      </w:r>
      <w:r w:rsidR="00A40421">
        <w:rPr>
          <w:rFonts w:cstheme="minorHAnsi"/>
          <w:b/>
          <w:bCs/>
        </w:rPr>
        <w:t>31 stycznia 2024 r.</w:t>
      </w:r>
    </w:p>
    <w:p w14:paraId="0D457A3F" w14:textId="445B435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rok.</w:t>
      </w:r>
    </w:p>
    <w:p w14:paraId="3D6F7C48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FFB53D" w14:textId="47F17DFA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Na podstawie art. 18 ust. 2 pkt 4, art. 51 ust.1. ustawy z dnia 8 marca 1990r. </w:t>
      </w:r>
      <w:r>
        <w:rPr>
          <w:rFonts w:cstheme="minorHAnsi"/>
        </w:rPr>
        <w:br/>
        <w:t>o samorządzie gminnym ( Dz. U. z 2023r. poz. 40</w:t>
      </w:r>
      <w:r w:rsidR="00E3653A">
        <w:rPr>
          <w:rFonts w:cstheme="minorHAnsi"/>
        </w:rPr>
        <w:t xml:space="preserve"> ze zm.</w:t>
      </w:r>
      <w:r>
        <w:rPr>
          <w:rFonts w:cstheme="minorHAnsi"/>
        </w:rPr>
        <w:t>), art. 212, 222, 236-237, 258 ustawy z dnia                                            27 sierpnia 2009r. o finansach publicznych ( Dz. U. z 2023r. poz. 1270 ze zm. ) Rada Gminy Lądek                                    u c h w a l a, co następuje:</w:t>
      </w:r>
    </w:p>
    <w:p w14:paraId="04D8D242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0D06F370" w14:textId="004CC767" w:rsidR="00F27357" w:rsidRDefault="00F27357" w:rsidP="00F2735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§1</w:t>
      </w:r>
      <w:r>
        <w:rPr>
          <w:rFonts w:cstheme="minorHAnsi"/>
        </w:rPr>
        <w:t>. W Uchwale Nr LXXIX/528/2023 Rady Gminy Lądek z dnia 27 grudnia 2023 r. w sprawie uchwały budżetowej  na 2024 rok,  wprowadza się następujące zmiany:</w:t>
      </w:r>
    </w:p>
    <w:p w14:paraId="5EB5D1C6" w14:textId="77777777" w:rsidR="00F27357" w:rsidRDefault="00F27357" w:rsidP="00F2735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3D7AB7" w14:textId="06EB8D41" w:rsidR="00F27357" w:rsidRDefault="00F27357" w:rsidP="00F2735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 xml:space="preserve">1.1 Zwiększa się dochody budżetu gminy na 2024 </w:t>
      </w:r>
      <w:r>
        <w:rPr>
          <w:rFonts w:cstheme="minorHAnsi"/>
          <w:b/>
          <w:bCs/>
          <w:color w:val="000000"/>
        </w:rPr>
        <w:t xml:space="preserve">rok </w:t>
      </w:r>
    </w:p>
    <w:p w14:paraId="51997387" w14:textId="201F6A9A" w:rsidR="00F27357" w:rsidRDefault="00F27357" w:rsidP="00F2735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o kwotę 60 168,00 zł do kwoty                                                                                                </w:t>
      </w:r>
      <w:r w:rsidR="008A5254">
        <w:rPr>
          <w:rFonts w:cstheme="minorHAnsi"/>
          <w:b/>
          <w:bCs/>
          <w:color w:val="000000"/>
        </w:rPr>
        <w:t>45 395 530,37</w:t>
      </w:r>
      <w:r>
        <w:rPr>
          <w:rFonts w:cstheme="minorHAnsi"/>
          <w:b/>
          <w:bCs/>
          <w:color w:val="000000"/>
        </w:rPr>
        <w:t xml:space="preserve"> zł</w:t>
      </w:r>
    </w:p>
    <w:p w14:paraId="06F1F2F7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 tego: </w:t>
      </w:r>
    </w:p>
    <w:p w14:paraId="0B02A555" w14:textId="5C2191C8" w:rsidR="00F27357" w:rsidRDefault="00F27357" w:rsidP="00F27357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 się dochody bieżące o kwotę   60 168,00 zł tj. do kwoty                      </w:t>
      </w:r>
      <w:r w:rsidR="008A5254">
        <w:rPr>
          <w:rFonts w:cstheme="minorHAnsi"/>
        </w:rPr>
        <w:t>26 674 730,37</w:t>
      </w:r>
      <w:r>
        <w:rPr>
          <w:rFonts w:cstheme="minorHAnsi"/>
        </w:rPr>
        <w:t xml:space="preserve"> zł</w:t>
      </w:r>
    </w:p>
    <w:p w14:paraId="2B4004CA" w14:textId="77777777" w:rsidR="00F27357" w:rsidRDefault="00F27357" w:rsidP="00F2735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048356" w14:textId="5152972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2.1. Zwiększa się wydatki budżetu gminy na 2024 rok </w:t>
      </w:r>
    </w:p>
    <w:p w14:paraId="122F5ECD" w14:textId="2318C5D9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o kwotę </w:t>
      </w:r>
      <w:r w:rsidR="00AE3DBD">
        <w:rPr>
          <w:rFonts w:cstheme="minorHAnsi"/>
          <w:b/>
          <w:bCs/>
        </w:rPr>
        <w:t>229 744,09</w:t>
      </w:r>
      <w:r>
        <w:rPr>
          <w:rFonts w:cstheme="minorHAnsi"/>
          <w:b/>
          <w:bCs/>
        </w:rPr>
        <w:t xml:space="preserve"> zł do kwoty                                                                                             </w:t>
      </w:r>
      <w:r w:rsidR="00AC5654">
        <w:rPr>
          <w:rFonts w:cstheme="minorHAnsi"/>
          <w:b/>
          <w:bCs/>
        </w:rPr>
        <w:t xml:space="preserve"> </w:t>
      </w:r>
      <w:r w:rsidR="0016660C">
        <w:rPr>
          <w:rFonts w:cstheme="minorHAnsi"/>
          <w:b/>
          <w:bCs/>
        </w:rPr>
        <w:t>50 743 798,93</w:t>
      </w:r>
      <w:r>
        <w:rPr>
          <w:rFonts w:cstheme="minorHAnsi"/>
          <w:b/>
          <w:bCs/>
        </w:rPr>
        <w:t xml:space="preserve"> zł</w:t>
      </w:r>
    </w:p>
    <w:p w14:paraId="48062622" w14:textId="082CEF49" w:rsidR="00F27357" w:rsidRDefault="00F27357" w:rsidP="00F27357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bieżące o kwotę </w:t>
      </w:r>
      <w:r w:rsidR="00AE3DBD">
        <w:rPr>
          <w:rFonts w:cstheme="minorHAnsi"/>
        </w:rPr>
        <w:t>229 744,09</w:t>
      </w:r>
      <w:r>
        <w:rPr>
          <w:rFonts w:cstheme="minorHAnsi"/>
        </w:rPr>
        <w:t xml:space="preserve"> zł tj. do kwoty                      </w:t>
      </w:r>
      <w:r w:rsidR="00AC5654">
        <w:rPr>
          <w:rFonts w:cstheme="minorHAnsi"/>
        </w:rPr>
        <w:t xml:space="preserve">  </w:t>
      </w:r>
      <w:r w:rsidR="0016660C">
        <w:rPr>
          <w:rFonts w:cstheme="minorHAnsi"/>
        </w:rPr>
        <w:t>25 894 235,57</w:t>
      </w:r>
      <w:r>
        <w:rPr>
          <w:rFonts w:cstheme="minorHAnsi"/>
        </w:rPr>
        <w:t xml:space="preserve"> zł</w:t>
      </w:r>
    </w:p>
    <w:p w14:paraId="6E91CCE6" w14:textId="77777777" w:rsidR="00AC5654" w:rsidRPr="00AC5654" w:rsidRDefault="00AC5654" w:rsidP="00AC56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0950BC01" w14:textId="241B079E" w:rsidR="00E67805" w:rsidRPr="00E67805" w:rsidRDefault="00F27357" w:rsidP="00E67805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cstheme="minorHAnsi"/>
          <w:b/>
          <w:bCs/>
          <w:color w:val="000000"/>
        </w:rPr>
        <w:t xml:space="preserve">§2.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 xml:space="preserve">§ 3 otrzymuje nowe brzmienie: </w:t>
      </w:r>
      <w:r w:rsidR="00E67805" w:rsidRPr="00E67805">
        <w:rPr>
          <w:rFonts w:ascii="Calibri" w:hAnsi="Calibri" w:cs="Calibri"/>
          <w:b/>
          <w:bCs/>
          <w:color w:val="000000"/>
          <w14:ligatures w14:val="standardContextual"/>
        </w:rPr>
        <w:t>„</w:t>
      </w:r>
      <w:bookmarkStart w:id="0" w:name="_Hlk156809917"/>
      <w:r w:rsidR="00E67805" w:rsidRPr="00E67805">
        <w:rPr>
          <w:rFonts w:ascii="Calibri" w:hAnsi="Calibri" w:cs="Calibri"/>
          <w:color w:val="000000"/>
          <w14:ligatures w14:val="standardContextual"/>
        </w:rPr>
        <w:t xml:space="preserve">Deficyt budżetu w kwocie </w:t>
      </w:r>
      <w:r w:rsidR="00E67805">
        <w:rPr>
          <w:rFonts w:ascii="Calibri" w:hAnsi="Calibri" w:cs="Calibri"/>
          <w:b/>
          <w:bCs/>
          <w:color w:val="000000"/>
          <w14:ligatures w14:val="standardContextual"/>
        </w:rPr>
        <w:t>5 348 268,56</w:t>
      </w:r>
      <w:r w:rsidR="00E67805" w:rsidRPr="00E67805">
        <w:rPr>
          <w:rFonts w:ascii="Calibri" w:hAnsi="Calibri" w:cs="Calibri"/>
          <w:b/>
          <w:bCs/>
          <w:color w:val="000000"/>
          <w14:ligatures w14:val="standardContextual"/>
        </w:rPr>
        <w:t xml:space="preserve"> zł</w:t>
      </w:r>
      <w:r w:rsidR="00E67805" w:rsidRPr="00E67805">
        <w:rPr>
          <w:rFonts w:ascii="Calibri" w:hAnsi="Calibri" w:cs="Calibri"/>
          <w:color w:val="000000"/>
          <w14:ligatures w14:val="standardContextual"/>
        </w:rPr>
        <w:t xml:space="preserve"> zostanie sfinansowany w pierwszej kolejności przychodami z niewykorzystanych środków pieniężnych na rachunku bieżącym budżetu, wynikających z rozliczenia dochodów i wydatków nimi finansowanych związany ze szczególnymi zasadami wykonywania budżetu określonymi w odrębnych ustawach, przychodami z tytułu kredytów bankowych, przychodami z tytułu wolnych środków, o których mowa w art. 217 ust. 2 pkt. 6 ustawy z dnia 27 sierpnia 2009r. o finansach publicznych( Dz. U. 202</w:t>
      </w:r>
      <w:r w:rsidR="00E67805">
        <w:rPr>
          <w:rFonts w:ascii="Calibri" w:hAnsi="Calibri" w:cs="Calibri"/>
          <w:color w:val="000000"/>
          <w14:ligatures w14:val="standardContextual"/>
        </w:rPr>
        <w:t xml:space="preserve">3 </w:t>
      </w:r>
      <w:r w:rsidR="00E67805" w:rsidRPr="00E67805">
        <w:rPr>
          <w:rFonts w:ascii="Calibri" w:hAnsi="Calibri" w:cs="Calibri"/>
          <w:color w:val="000000"/>
          <w14:ligatures w14:val="standardContextual"/>
        </w:rPr>
        <w:t xml:space="preserve">r. poz. </w:t>
      </w:r>
      <w:r w:rsidR="00E67805">
        <w:rPr>
          <w:rFonts w:ascii="Calibri" w:hAnsi="Calibri" w:cs="Calibri"/>
          <w:color w:val="000000"/>
          <w14:ligatures w14:val="standardContextual"/>
        </w:rPr>
        <w:t>1270</w:t>
      </w:r>
      <w:r w:rsidR="00E67805" w:rsidRPr="00E67805">
        <w:rPr>
          <w:rFonts w:ascii="Calibri" w:hAnsi="Calibri" w:cs="Calibri"/>
          <w:color w:val="000000"/>
          <w14:ligatures w14:val="standardContextual"/>
        </w:rPr>
        <w:t xml:space="preserve"> z zm.</w:t>
      </w:r>
      <w:r w:rsidR="002E233A">
        <w:rPr>
          <w:rFonts w:ascii="Calibri" w:hAnsi="Calibri" w:cs="Calibri"/>
          <w:color w:val="000000"/>
          <w14:ligatures w14:val="standardContextual"/>
        </w:rPr>
        <w:t>)</w:t>
      </w:r>
      <w:r w:rsidR="00E67805">
        <w:rPr>
          <w:rFonts w:ascii="Calibri" w:hAnsi="Calibri" w:cs="Calibri"/>
          <w:color w:val="000000"/>
          <w14:ligatures w14:val="standardContextual"/>
        </w:rPr>
        <w:t>”</w:t>
      </w:r>
      <w:bookmarkEnd w:id="0"/>
    </w:p>
    <w:p w14:paraId="0A9512EB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4036E55" w14:textId="2D4A4F81" w:rsidR="00F27357" w:rsidRDefault="00F27357" w:rsidP="00F2735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theme="minorHAnsi"/>
          <w:b/>
          <w:bCs/>
          <w:color w:val="000000"/>
        </w:rPr>
        <w:t xml:space="preserve">§3. </w:t>
      </w:r>
      <w:r>
        <w:rPr>
          <w:rFonts w:ascii="Calibri" w:hAnsi="Calibri" w:cs="Calibri"/>
        </w:rPr>
        <w:t>§ 5 otrzymuje brzmienie</w:t>
      </w:r>
      <w:r>
        <w:rPr>
          <w:rFonts w:ascii="Calibri" w:hAnsi="Calibri" w:cs="Calibri"/>
          <w:b/>
          <w:bCs/>
          <w:color w:val="000000"/>
        </w:rPr>
        <w:t>: „</w:t>
      </w:r>
      <w:bookmarkStart w:id="1" w:name="_Hlk156396737"/>
      <w:r>
        <w:rPr>
          <w:rFonts w:ascii="Calibri" w:hAnsi="Calibri" w:cs="Calibri"/>
          <w:color w:val="000000"/>
        </w:rPr>
        <w:t xml:space="preserve">Określa się łączną kwotę planowanych przychodów budżetu w wysokości   </w:t>
      </w:r>
      <w:r w:rsidR="0016660C">
        <w:rPr>
          <w:rFonts w:ascii="Calibri" w:hAnsi="Calibri" w:cs="Calibri"/>
          <w:b/>
          <w:color w:val="000000"/>
        </w:rPr>
        <w:t>6 063 539,72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zł</w:t>
      </w:r>
      <w:r>
        <w:rPr>
          <w:rFonts w:ascii="Calibri" w:hAnsi="Calibri" w:cs="Calibri"/>
          <w:color w:val="000000"/>
        </w:rPr>
        <w:t xml:space="preserve">, </w:t>
      </w:r>
    </w:p>
    <w:p w14:paraId="62AC65C1" w14:textId="0CC10530" w:rsidR="00F27357" w:rsidRDefault="00F27357" w:rsidP="00F2735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tym przychody zwrotne w kwocie </w:t>
      </w:r>
      <w:r w:rsidR="0016660C">
        <w:rPr>
          <w:rFonts w:ascii="Calibri" w:hAnsi="Calibri" w:cs="Calibri"/>
          <w:color w:val="000000"/>
        </w:rPr>
        <w:t xml:space="preserve">5 052 643,63 </w:t>
      </w:r>
      <w:r>
        <w:rPr>
          <w:rFonts w:ascii="Calibri" w:hAnsi="Calibri" w:cs="Calibri"/>
          <w:color w:val="000000"/>
        </w:rPr>
        <w:t>zł</w:t>
      </w:r>
    </w:p>
    <w:bookmarkEnd w:id="1"/>
    <w:p w14:paraId="0AC883C5" w14:textId="77777777" w:rsidR="00F27357" w:rsidRDefault="00F27357" w:rsidP="00F2735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zgodnie z załącznikiem Nr 4 do niniejszej uchwały</w:t>
      </w:r>
      <w:r>
        <w:rPr>
          <w:rFonts w:ascii="Calibri" w:hAnsi="Calibri" w:cs="Calibri"/>
          <w:color w:val="000000"/>
          <w:sz w:val="20"/>
          <w:szCs w:val="20"/>
        </w:rPr>
        <w:t>”.</w:t>
      </w:r>
    </w:p>
    <w:p w14:paraId="4973CA33" w14:textId="77777777" w:rsidR="00F27357" w:rsidRDefault="00F27357" w:rsidP="00F2735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§4.  </w:t>
      </w:r>
    </w:p>
    <w:p w14:paraId="7A20D1C1" w14:textId="37B2569D" w:rsidR="00F27357" w:rsidRDefault="00F27357" w:rsidP="00F27357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1 do Uchwały budżetowej na 202</w:t>
      </w:r>
      <w:r w:rsidR="00C04400">
        <w:rPr>
          <w:rFonts w:cstheme="minorHAnsi"/>
        </w:rPr>
        <w:t>4</w:t>
      </w:r>
      <w:r>
        <w:rPr>
          <w:rFonts w:cstheme="minorHAnsi"/>
        </w:rPr>
        <w:t xml:space="preserve"> rok wprowadza się zmiany określone załącznikiem Nr 1 do niniejszej uchwały.</w:t>
      </w:r>
    </w:p>
    <w:p w14:paraId="581BC10A" w14:textId="699F2646" w:rsidR="00F27357" w:rsidRDefault="00F27357" w:rsidP="00F27357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2 do Uchwały budżetowej na 202</w:t>
      </w:r>
      <w:r w:rsidR="00C04400">
        <w:rPr>
          <w:rFonts w:cstheme="minorHAnsi"/>
        </w:rPr>
        <w:t>4</w:t>
      </w:r>
      <w:r>
        <w:rPr>
          <w:rFonts w:cstheme="minorHAnsi"/>
        </w:rPr>
        <w:t xml:space="preserve"> rok wprowadza się zmiany określone załącznikiem Nr 2 do niniejszej uchwały.</w:t>
      </w:r>
    </w:p>
    <w:p w14:paraId="3BC97413" w14:textId="32058827" w:rsidR="00F27357" w:rsidRDefault="00F27357" w:rsidP="00F27357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bookmarkStart w:id="2" w:name="_Hlk127953162"/>
      <w:r>
        <w:rPr>
          <w:rFonts w:cstheme="minorHAnsi"/>
        </w:rPr>
        <w:t>W załączniku Nr 4 do Uchwały budżetowej na 202</w:t>
      </w:r>
      <w:r w:rsidR="00C04400">
        <w:rPr>
          <w:rFonts w:cstheme="minorHAnsi"/>
        </w:rPr>
        <w:t>4</w:t>
      </w:r>
      <w:r>
        <w:rPr>
          <w:rFonts w:cstheme="minorHAnsi"/>
        </w:rPr>
        <w:t xml:space="preserve"> rok wprowadza się zmiany określone załącznikiem Nr 3 do niniejszej uchwały.</w:t>
      </w:r>
    </w:p>
    <w:p w14:paraId="432436DD" w14:textId="77777777" w:rsidR="00980B38" w:rsidRDefault="00980B38" w:rsidP="00980B38">
      <w:pPr>
        <w:autoSpaceDN w:val="0"/>
        <w:spacing w:after="0"/>
        <w:ind w:left="644"/>
        <w:contextualSpacing/>
        <w:jc w:val="both"/>
        <w:rPr>
          <w:rFonts w:cstheme="minorHAnsi"/>
        </w:rPr>
      </w:pPr>
    </w:p>
    <w:bookmarkEnd w:id="2"/>
    <w:p w14:paraId="4DDC0D79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§5.  </w:t>
      </w:r>
      <w:r>
        <w:rPr>
          <w:rFonts w:cstheme="minorHAnsi"/>
          <w:color w:val="000000"/>
        </w:rPr>
        <w:t>Wykonanie uchwały powierza się Wójtowi Gminy.</w:t>
      </w:r>
    </w:p>
    <w:p w14:paraId="0DFDCAAE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C552204" w14:textId="77777777" w:rsidR="00F27357" w:rsidRDefault="00F27357" w:rsidP="00F2735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§6. </w:t>
      </w:r>
      <w:r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4906E51E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8909ECB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F28A4FE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54E768B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B9CB59F" w14:textId="77777777" w:rsidR="004C5F83" w:rsidRPr="000111C4" w:rsidRDefault="004C5F83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777A19E" w14:textId="77777777" w:rsidR="00C04A43" w:rsidRDefault="00C04A43" w:rsidP="00C04A43">
      <w:pPr>
        <w:pStyle w:val="Bezodstpw"/>
        <w:ind w:firstLine="340"/>
      </w:pPr>
    </w:p>
    <w:p w14:paraId="58D3388C" w14:textId="77777777" w:rsidR="00C04A43" w:rsidRDefault="00C04A43" w:rsidP="00C04A43">
      <w:pPr>
        <w:autoSpaceDE w:val="0"/>
        <w:ind w:left="4956" w:right="-431" w:firstLine="709"/>
        <w:contextualSpacing/>
      </w:pPr>
      <w:r>
        <w:t>Przewodniczący Rady Gminy Lądek</w:t>
      </w:r>
      <w:r>
        <w:tab/>
      </w:r>
    </w:p>
    <w:p w14:paraId="337FE67E" w14:textId="73171D7D" w:rsidR="00C04A43" w:rsidRDefault="00C04A43" w:rsidP="00C04A43">
      <w:pPr>
        <w:autoSpaceDE w:val="0"/>
        <w:ind w:left="4956" w:right="-431" w:firstLine="709"/>
        <w:contextualSpacing/>
      </w:pPr>
      <w:r>
        <w:t>/-/ Waldemar Błaszczak</w:t>
      </w:r>
    </w:p>
    <w:p w14:paraId="4CBA3D2D" w14:textId="77777777" w:rsidR="00C04A43" w:rsidRDefault="00C04A43" w:rsidP="00C04A43">
      <w:pPr>
        <w:keepLines/>
        <w:spacing w:before="120" w:after="120"/>
        <w:ind w:firstLine="340"/>
        <w:rPr>
          <w:color w:val="000000"/>
          <w:szCs w:val="24"/>
        </w:rPr>
      </w:pPr>
    </w:p>
    <w:p w14:paraId="2B0B2014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35313EC" w14:textId="77777777" w:rsidR="00A40421" w:rsidRDefault="00A40421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C0184E9" w14:textId="77777777" w:rsidR="00A40421" w:rsidRDefault="00A40421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A363EB8" w14:textId="77777777" w:rsidR="00A40421" w:rsidRDefault="00A40421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B2F75C4" w14:textId="77777777" w:rsidR="00A40421" w:rsidRDefault="00A40421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064C859" w14:textId="77777777" w:rsidR="00A40421" w:rsidRDefault="00A40421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4DA5B22" w14:textId="55881399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27E70636" w14:textId="1E360D5E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Uchwały </w:t>
      </w:r>
      <w:r w:rsidR="00A40421">
        <w:rPr>
          <w:rFonts w:cstheme="minorHAnsi"/>
          <w:b/>
          <w:bCs/>
        </w:rPr>
        <w:t>LXXXI/533/2024</w:t>
      </w:r>
    </w:p>
    <w:p w14:paraId="64E61DCE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Rady Gminy Lądek</w:t>
      </w:r>
    </w:p>
    <w:p w14:paraId="6B126005" w14:textId="01D7F96A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A40421">
        <w:rPr>
          <w:rFonts w:cstheme="minorHAnsi"/>
          <w:b/>
          <w:bCs/>
        </w:rPr>
        <w:t>31 stycznia 2024 r.</w:t>
      </w:r>
    </w:p>
    <w:p w14:paraId="3AFA8725" w14:textId="45CF9892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</w:t>
      </w:r>
      <w:r w:rsidR="00146EF3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rok</w:t>
      </w:r>
    </w:p>
    <w:p w14:paraId="381F5C80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62C6DF9" w14:textId="73F5EBB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Dochody budżetu </w:t>
      </w:r>
      <w:r>
        <w:rPr>
          <w:rFonts w:cstheme="minorHAnsi"/>
        </w:rPr>
        <w:t xml:space="preserve">zwiększają się ogółem o kwotę </w:t>
      </w:r>
      <w:r w:rsidR="004C5F83">
        <w:rPr>
          <w:rFonts w:cstheme="minorHAnsi"/>
        </w:rPr>
        <w:t>60 168,00</w:t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, z tego:</w:t>
      </w:r>
    </w:p>
    <w:p w14:paraId="1183AA46" w14:textId="2A7C2AAD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bookmarkStart w:id="3" w:name="_Hlk127953449"/>
      <w:r>
        <w:rPr>
          <w:rFonts w:cstheme="minorHAnsi"/>
          <w:bCs/>
        </w:rPr>
        <w:t xml:space="preserve">- </w:t>
      </w:r>
      <w:bookmarkStart w:id="4" w:name="_Hlk129175199"/>
      <w:r>
        <w:rPr>
          <w:rFonts w:cstheme="minorHAnsi"/>
          <w:bCs/>
        </w:rPr>
        <w:t xml:space="preserve">rozdział </w:t>
      </w:r>
      <w:r w:rsidR="004C5F83">
        <w:rPr>
          <w:rFonts w:cstheme="minorHAnsi"/>
          <w:bCs/>
        </w:rPr>
        <w:t>85219</w:t>
      </w:r>
      <w:r>
        <w:rPr>
          <w:rFonts w:cstheme="minorHAnsi"/>
          <w:bCs/>
        </w:rPr>
        <w:t xml:space="preserve"> par. </w:t>
      </w:r>
      <w:r w:rsidR="004C5F83">
        <w:rPr>
          <w:rFonts w:cstheme="minorHAnsi"/>
          <w:bCs/>
        </w:rPr>
        <w:t>2030</w:t>
      </w:r>
      <w:r>
        <w:rPr>
          <w:rFonts w:cstheme="minorHAnsi"/>
          <w:bCs/>
        </w:rPr>
        <w:t xml:space="preserve"> </w:t>
      </w:r>
      <w:bookmarkEnd w:id="4"/>
      <w:r>
        <w:rPr>
          <w:rFonts w:ascii="Calibri" w:hAnsi="Calibri" w:cs="Calibri"/>
        </w:rPr>
        <w:t xml:space="preserve">o kwotę </w:t>
      </w:r>
      <w:r w:rsidR="004C5F83">
        <w:rPr>
          <w:rFonts w:ascii="Calibri" w:hAnsi="Calibri" w:cs="Calibri"/>
        </w:rPr>
        <w:t>60 168,00</w:t>
      </w:r>
      <w:r>
        <w:rPr>
          <w:rFonts w:ascii="Calibri" w:hAnsi="Calibri" w:cs="Calibri"/>
        </w:rPr>
        <w:t xml:space="preserve"> zł </w:t>
      </w:r>
      <w:r w:rsidR="004C5F83">
        <w:rPr>
          <w:rFonts w:ascii="Calibri" w:hAnsi="Calibri" w:cs="Calibri"/>
        </w:rPr>
        <w:t>dotacja celowa z przeznaczeniem na dofinansowanie ośrodków pomocy społecznej.</w:t>
      </w:r>
    </w:p>
    <w:bookmarkEnd w:id="3"/>
    <w:p w14:paraId="2F4DD811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5866C85D" w14:textId="68307F4B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Wydatki budżetu </w:t>
      </w:r>
      <w:r>
        <w:rPr>
          <w:rFonts w:cstheme="minorHAnsi"/>
        </w:rPr>
        <w:t xml:space="preserve">zwiększają się ogółem o kwotę </w:t>
      </w:r>
      <w:r w:rsidR="004C5F83">
        <w:rPr>
          <w:rFonts w:cstheme="minorHAnsi"/>
        </w:rPr>
        <w:t>229 744,09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, z tego:</w:t>
      </w:r>
    </w:p>
    <w:p w14:paraId="7A216D80" w14:textId="038BEFD3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</w:t>
      </w:r>
      <w:r w:rsidR="004C5F83">
        <w:rPr>
          <w:rFonts w:cstheme="minorHAnsi"/>
          <w:color w:val="000000"/>
        </w:rPr>
        <w:t>85219</w:t>
      </w:r>
      <w:r>
        <w:rPr>
          <w:rFonts w:cstheme="minorHAnsi"/>
          <w:color w:val="000000"/>
        </w:rPr>
        <w:t xml:space="preserve"> par. </w:t>
      </w:r>
      <w:r w:rsidR="004C5F83">
        <w:rPr>
          <w:rFonts w:cstheme="minorHAnsi"/>
          <w:color w:val="000000"/>
        </w:rPr>
        <w:t>4010, 4040</w:t>
      </w:r>
      <w:r>
        <w:rPr>
          <w:rFonts w:cstheme="minorHAnsi"/>
          <w:color w:val="000000"/>
        </w:rPr>
        <w:t xml:space="preserve"> o kwotę </w:t>
      </w:r>
      <w:r w:rsidR="004C5F83">
        <w:rPr>
          <w:rFonts w:cstheme="minorHAnsi"/>
          <w:color w:val="000000"/>
        </w:rPr>
        <w:t>60 168,00</w:t>
      </w:r>
      <w:r>
        <w:rPr>
          <w:rFonts w:cstheme="minorHAnsi"/>
          <w:color w:val="000000"/>
        </w:rPr>
        <w:t xml:space="preserve"> zł </w:t>
      </w:r>
      <w:r w:rsidR="004C5F83">
        <w:rPr>
          <w:rFonts w:ascii="Calibri" w:hAnsi="Calibri" w:cs="Calibri"/>
        </w:rPr>
        <w:t>z przeznaczeniem na dofinansowanie ośrodków pomocy społecznej,</w:t>
      </w:r>
    </w:p>
    <w:p w14:paraId="6F72BFE8" w14:textId="26C2FEA8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cstheme="minorHAnsi"/>
          <w:bCs/>
        </w:rPr>
        <w:t xml:space="preserve">- rozdział </w:t>
      </w:r>
      <w:r w:rsidR="00EC479C">
        <w:rPr>
          <w:rFonts w:cstheme="minorHAnsi"/>
          <w:bCs/>
        </w:rPr>
        <w:t>90005 par. 4011,4111,4121,4</w:t>
      </w:r>
      <w:r w:rsidR="008C3CC9">
        <w:rPr>
          <w:rFonts w:cstheme="minorHAnsi"/>
          <w:bCs/>
        </w:rPr>
        <w:t>2</w:t>
      </w:r>
      <w:r w:rsidR="00EC479C">
        <w:rPr>
          <w:rFonts w:cstheme="minorHAnsi"/>
          <w:bCs/>
        </w:rPr>
        <w:t>11,</w:t>
      </w:r>
      <w:r w:rsidR="008C3CC9">
        <w:rPr>
          <w:rFonts w:cstheme="minorHAnsi"/>
          <w:bCs/>
        </w:rPr>
        <w:t>4301,</w:t>
      </w:r>
      <w:r w:rsidR="00EC479C">
        <w:rPr>
          <w:rFonts w:cstheme="minorHAnsi"/>
          <w:bCs/>
        </w:rPr>
        <w:t>44</w:t>
      </w:r>
      <w:r w:rsidR="008C3CC9">
        <w:rPr>
          <w:rFonts w:cstheme="minorHAnsi"/>
          <w:bCs/>
        </w:rPr>
        <w:t>1</w:t>
      </w:r>
      <w:r w:rsidR="00EC479C">
        <w:rPr>
          <w:rFonts w:cstheme="minorHAnsi"/>
          <w:bCs/>
        </w:rPr>
        <w:t>1,</w:t>
      </w:r>
      <w:r w:rsidR="008C3CC9">
        <w:rPr>
          <w:rFonts w:cstheme="minorHAnsi"/>
          <w:bCs/>
        </w:rPr>
        <w:t>4421,</w:t>
      </w:r>
      <w:r w:rsidR="00EC479C">
        <w:rPr>
          <w:rFonts w:cstheme="minorHAnsi"/>
          <w:bCs/>
        </w:rPr>
        <w:t xml:space="preserve">4441 o kwotę 169 576,09 zł. w związku </w:t>
      </w:r>
      <w:r w:rsidR="00146EF3">
        <w:rPr>
          <w:rFonts w:cstheme="minorHAnsi"/>
          <w:bCs/>
        </w:rPr>
        <w:t xml:space="preserve">                                  </w:t>
      </w:r>
      <w:r w:rsidR="00EC479C">
        <w:rPr>
          <w:rFonts w:cstheme="minorHAnsi"/>
          <w:bCs/>
        </w:rPr>
        <w:t xml:space="preserve">z niewykorzystanymi  w 2023 r. środkami od Wojewody Wielkopolskiego na realizacje zadania pn. </w:t>
      </w:r>
      <w:r w:rsidR="00EC479C" w:rsidRPr="00EC479C">
        <w:rPr>
          <w:rFonts w:cstheme="minorHAnsi"/>
          <w:bCs/>
        </w:rPr>
        <w:t>Wdrażanie Strategii na rzecz Neutralności Klimatycznej Wielkopolska Wschodnia 2040 LIFE AFTER COAL PL</w:t>
      </w:r>
      <w:r w:rsidR="00EC479C">
        <w:rPr>
          <w:rFonts w:cstheme="minorHAnsi"/>
          <w:bCs/>
        </w:rPr>
        <w:t>.</w:t>
      </w:r>
      <w:r w:rsidR="00146EF3">
        <w:rPr>
          <w:rFonts w:cstheme="minorHAnsi"/>
          <w:bCs/>
        </w:rPr>
        <w:t xml:space="preserve"> Zabezpiecza się również kwotę w rozdziale 90005 par. 4212, 4302 na kwotę  13 980,00 zł z</w:t>
      </w:r>
      <w:r w:rsidR="00D92B09">
        <w:rPr>
          <w:rFonts w:cstheme="minorHAnsi"/>
          <w:bCs/>
        </w:rPr>
        <w:t xml:space="preserve">e </w:t>
      </w:r>
      <w:r w:rsidR="00146EF3">
        <w:rPr>
          <w:rFonts w:cstheme="minorHAnsi"/>
          <w:bCs/>
        </w:rPr>
        <w:t xml:space="preserve">środków własnych poprzez przesunięcia w planie wydatków. Refundacja </w:t>
      </w:r>
      <w:r w:rsidR="00D92B09">
        <w:rPr>
          <w:rFonts w:cstheme="minorHAnsi"/>
          <w:bCs/>
        </w:rPr>
        <w:t>ww. kwoty</w:t>
      </w:r>
      <w:r w:rsidR="00146EF3">
        <w:rPr>
          <w:rFonts w:cstheme="minorHAnsi"/>
          <w:bCs/>
        </w:rPr>
        <w:t xml:space="preserve"> nastąpi po dokonaniu wydatków ze środków NFOŚIGW.</w:t>
      </w:r>
    </w:p>
    <w:p w14:paraId="501476CA" w14:textId="77777777" w:rsidR="00F27357" w:rsidRDefault="00F27357" w:rsidP="00F27357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C1E005F" w14:textId="5F820BBE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 również przesunięcia w planie wydatków budżetowych Urzędu Gminy Lądek </w:t>
      </w:r>
      <w:r w:rsidR="00EC479C">
        <w:rPr>
          <w:rFonts w:ascii="Calibri" w:hAnsi="Calibri" w:cs="Calibri"/>
        </w:rPr>
        <w:t xml:space="preserve">oraz dochodów i wydatków Zespołu Szkolno-Przedszkolnego w Ratyniu </w:t>
      </w:r>
      <w:r>
        <w:rPr>
          <w:rFonts w:ascii="Calibri" w:hAnsi="Calibri" w:cs="Calibri"/>
        </w:rPr>
        <w:t xml:space="preserve">wynikających z bieżącej analizy budżetu niezbędne dla prawidłowej realizacji zadań jednostki.  </w:t>
      </w:r>
    </w:p>
    <w:p w14:paraId="6600FFF2" w14:textId="77777777" w:rsidR="00F27357" w:rsidRDefault="00F27357" w:rsidP="00F27357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F67D309" w14:textId="77777777" w:rsidR="00F27357" w:rsidRDefault="00F27357" w:rsidP="00F27357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bookmarkStart w:id="5" w:name="_Hlk156396670"/>
      <w:r>
        <w:rPr>
          <w:rFonts w:cstheme="minorHAnsi"/>
          <w:bCs/>
        </w:rPr>
        <w:t xml:space="preserve">Przychody budżetu: </w:t>
      </w:r>
    </w:p>
    <w:p w14:paraId="5D17DE3A" w14:textId="476D8CB7" w:rsidR="00F27357" w:rsidRDefault="00F27357" w:rsidP="00F27357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bookmarkStart w:id="6" w:name="_Hlk129177729"/>
      <w:r>
        <w:rPr>
          <w:rFonts w:cstheme="minorHAnsi"/>
          <w:bCs/>
        </w:rPr>
        <w:t xml:space="preserve">Zwiększa się plan przychodów budżetu o kwotę </w:t>
      </w:r>
      <w:r w:rsidR="00EC479C">
        <w:rPr>
          <w:rFonts w:cstheme="minorHAnsi"/>
          <w:bCs/>
        </w:rPr>
        <w:t>169 576,09</w:t>
      </w:r>
      <w:r>
        <w:rPr>
          <w:rFonts w:cstheme="minorHAnsi"/>
          <w:bCs/>
        </w:rPr>
        <w:t xml:space="preserve"> zł. w związku z niewykorzystanymi  w 202</w:t>
      </w:r>
      <w:r w:rsidR="00EC479C">
        <w:rPr>
          <w:rFonts w:cstheme="minorHAnsi"/>
          <w:bCs/>
        </w:rPr>
        <w:t>3</w:t>
      </w:r>
      <w:r>
        <w:rPr>
          <w:rFonts w:cstheme="minorHAnsi"/>
          <w:bCs/>
        </w:rPr>
        <w:t xml:space="preserve"> r. </w:t>
      </w:r>
      <w:r w:rsidR="00EC479C">
        <w:rPr>
          <w:rFonts w:cstheme="minorHAnsi"/>
          <w:bCs/>
        </w:rPr>
        <w:t xml:space="preserve">środkami od Wojewody Wielkopolskiego na realizacje zadania pn. </w:t>
      </w:r>
      <w:r w:rsidR="00EC479C" w:rsidRPr="00EC479C">
        <w:rPr>
          <w:rFonts w:cstheme="minorHAnsi"/>
          <w:bCs/>
        </w:rPr>
        <w:t>Wdrażanie Strategii na rzecz Neutralności Klimatycznej Wielkopolska Wschodnia 2040 LIFE AFTER COAL PL</w:t>
      </w:r>
      <w:r w:rsidR="00EC479C">
        <w:rPr>
          <w:rFonts w:cstheme="minorHAnsi"/>
          <w:bCs/>
        </w:rPr>
        <w:t>.</w:t>
      </w:r>
    </w:p>
    <w:bookmarkEnd w:id="5"/>
    <w:bookmarkEnd w:id="6"/>
    <w:p w14:paraId="77B54EBA" w14:textId="77777777" w:rsidR="00F27357" w:rsidRDefault="00F27357" w:rsidP="00F27357">
      <w:pPr>
        <w:tabs>
          <w:tab w:val="left" w:pos="3976"/>
        </w:tabs>
        <w:spacing w:after="0"/>
        <w:jc w:val="both"/>
        <w:rPr>
          <w:rFonts w:cstheme="minorHAnsi"/>
          <w:bCs/>
        </w:rPr>
      </w:pPr>
    </w:p>
    <w:p w14:paraId="019A38D9" w14:textId="77777777" w:rsidR="00F27357" w:rsidRDefault="00F27357" w:rsidP="00F27357"/>
    <w:p w14:paraId="302AE4E4" w14:textId="77777777" w:rsidR="00F27357" w:rsidRDefault="00F27357"/>
    <w:sectPr w:rsidR="00F27357" w:rsidSect="0024451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04884225">
    <w:abstractNumId w:val="0"/>
  </w:num>
  <w:num w:numId="2" w16cid:durableId="1735618321">
    <w:abstractNumId w:val="0"/>
    <w:lvlOverride w:ilvl="0">
      <w:lvl w:ilvl="0">
        <w:start w:val="1"/>
        <w:numFmt w:val="decimal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032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57"/>
    <w:rsid w:val="000111C4"/>
    <w:rsid w:val="00146EF3"/>
    <w:rsid w:val="0016660C"/>
    <w:rsid w:val="00244519"/>
    <w:rsid w:val="002E233A"/>
    <w:rsid w:val="004C5F83"/>
    <w:rsid w:val="007C1B33"/>
    <w:rsid w:val="0083404D"/>
    <w:rsid w:val="00854195"/>
    <w:rsid w:val="008A5254"/>
    <w:rsid w:val="008C3CC9"/>
    <w:rsid w:val="00980B38"/>
    <w:rsid w:val="009B7134"/>
    <w:rsid w:val="00A40421"/>
    <w:rsid w:val="00AC5654"/>
    <w:rsid w:val="00AE3DBD"/>
    <w:rsid w:val="00BB001E"/>
    <w:rsid w:val="00C04400"/>
    <w:rsid w:val="00C04A43"/>
    <w:rsid w:val="00D92B09"/>
    <w:rsid w:val="00E35135"/>
    <w:rsid w:val="00E3653A"/>
    <w:rsid w:val="00E67805"/>
    <w:rsid w:val="00EC479C"/>
    <w:rsid w:val="00F2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6227"/>
  <w15:chartTrackingRefBased/>
  <w15:docId w15:val="{E4E1D0B5-EBE3-4778-8C45-97D74E92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35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4A4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6</cp:revision>
  <cp:lastPrinted>2024-01-22T08:35:00Z</cp:lastPrinted>
  <dcterms:created xsi:type="dcterms:W3CDTF">2024-02-05T08:06:00Z</dcterms:created>
  <dcterms:modified xsi:type="dcterms:W3CDTF">2024-02-05T08:30:00Z</dcterms:modified>
</cp:coreProperties>
</file>